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4A" w:rsidRDefault="004D0B4A" w:rsidP="004D0B4A">
      <w:pPr>
        <w:keepNext/>
        <w:keepLines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  <w:lang w:bidi="en-US"/>
        </w:rPr>
      </w:pPr>
      <w:r w:rsidRPr="007B77BB">
        <w:rPr>
          <w:rFonts w:ascii="Times New Roman" w:hAnsi="Times New Roman" w:cs="Times New Roman"/>
          <w:b/>
          <w:bCs/>
          <w:sz w:val="24"/>
          <w:szCs w:val="28"/>
          <w:lang w:bidi="en-US"/>
        </w:rPr>
        <w:t>Title 15: Mississippi State Department of Health</w:t>
      </w:r>
    </w:p>
    <w:p w:rsidR="004D0B4A" w:rsidRPr="007B77BB" w:rsidRDefault="004D0B4A" w:rsidP="004D0B4A">
      <w:pPr>
        <w:keepNext/>
        <w:keepLines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  <w:lang w:bidi="en-US"/>
        </w:rPr>
      </w:pPr>
    </w:p>
    <w:p w:rsidR="004D0B4A" w:rsidRDefault="004D0B4A" w:rsidP="004D0B4A">
      <w:pPr>
        <w:keepNext/>
        <w:keepLines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  <w:lang w:bidi="en-US"/>
        </w:rPr>
      </w:pPr>
      <w:r w:rsidRPr="007B77BB">
        <w:rPr>
          <w:rFonts w:ascii="Times New Roman" w:hAnsi="Times New Roman" w:cs="Times New Roman"/>
          <w:b/>
          <w:bCs/>
          <w:sz w:val="24"/>
          <w:szCs w:val="28"/>
          <w:lang w:bidi="en-US"/>
        </w:rPr>
        <w:t>Part 18: Division of On-site Wastewater</w:t>
      </w:r>
    </w:p>
    <w:p w:rsidR="004D0B4A" w:rsidRPr="007B77BB" w:rsidRDefault="004D0B4A" w:rsidP="004D0B4A">
      <w:pPr>
        <w:keepNext/>
        <w:keepLines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  <w:lang w:bidi="en-US"/>
        </w:rPr>
      </w:pPr>
    </w:p>
    <w:p w:rsidR="004D0B4A" w:rsidRDefault="004D0B4A" w:rsidP="004D0B4A">
      <w:pPr>
        <w:keepNext/>
        <w:keepLines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  <w:lang w:bidi="en-US"/>
        </w:rPr>
      </w:pPr>
      <w:r w:rsidRPr="007B77BB">
        <w:rPr>
          <w:rFonts w:ascii="Times New Roman" w:hAnsi="Times New Roman" w:cs="Times New Roman"/>
          <w:b/>
          <w:bCs/>
          <w:sz w:val="24"/>
          <w:szCs w:val="28"/>
          <w:lang w:bidi="en-US"/>
        </w:rPr>
        <w:t>Subpart 77: On-site Wastewater Regulations</w:t>
      </w:r>
    </w:p>
    <w:p w:rsidR="004D0B4A" w:rsidRDefault="004D0B4A" w:rsidP="004D0B4A"/>
    <w:p w:rsidR="004D0B4A" w:rsidRDefault="004D0B4A" w:rsidP="004D0B4A"/>
    <w:p w:rsidR="004D0B4A" w:rsidRPr="004D0B4A" w:rsidRDefault="004D0B4A" w:rsidP="004D0B4A">
      <w:pPr>
        <w:pStyle w:val="BodyText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Rule 1.6.5</w:t>
      </w:r>
      <w:r w:rsidRPr="004D0B4A">
        <w:rPr>
          <w:rFonts w:ascii="Times New Roman" w:hAnsi="Times New Roman" w:cs="Times New Roman"/>
          <w:b w:val="0"/>
        </w:rPr>
        <w:tab/>
      </w:r>
      <w:r w:rsidRPr="004D0B4A">
        <w:rPr>
          <w:rFonts w:ascii="Times New Roman" w:hAnsi="Times New Roman" w:cs="Times New Roman"/>
        </w:rPr>
        <w:t xml:space="preserve">Replacement.  </w:t>
      </w:r>
      <w:r w:rsidRPr="004D0B4A">
        <w:rPr>
          <w:rFonts w:ascii="Times New Roman" w:hAnsi="Times New Roman" w:cs="Times New Roman"/>
          <w:b w:val="0"/>
        </w:rPr>
        <w:t xml:space="preserve">Any malfunctioning </w:t>
      </w:r>
      <w:proofErr w:type="spellStart"/>
      <w:r w:rsidRPr="004D0B4A">
        <w:rPr>
          <w:rFonts w:ascii="Times New Roman" w:hAnsi="Times New Roman" w:cs="Times New Roman"/>
          <w:b w:val="0"/>
        </w:rPr>
        <w:t>IOWDS</w:t>
      </w:r>
      <w:proofErr w:type="spellEnd"/>
      <w:r w:rsidRPr="004D0B4A">
        <w:rPr>
          <w:rFonts w:ascii="Times New Roman" w:hAnsi="Times New Roman" w:cs="Times New Roman"/>
          <w:b w:val="0"/>
        </w:rPr>
        <w:t xml:space="preserve"> that will require the installation of both treatment and disposal within 45 days of one another will require the Applicant to comply with </w:t>
      </w:r>
      <w:r w:rsidRPr="004D0B4A">
        <w:rPr>
          <w:rFonts w:ascii="Times New Roman" w:hAnsi="Times New Roman" w:cs="Times New Roman"/>
          <w:b w:val="0"/>
          <w:i/>
          <w:iCs/>
        </w:rPr>
        <w:t>Subchapter 5. New System</w:t>
      </w:r>
    </w:p>
    <w:p w:rsidR="004D0B4A" w:rsidRPr="004D0B4A" w:rsidRDefault="004D0B4A" w:rsidP="004D0B4A">
      <w:pPr>
        <w:pStyle w:val="BodyText"/>
        <w:rPr>
          <w:rFonts w:ascii="Times New Roman" w:hAnsi="Times New Roman" w:cs="Times New Roman"/>
          <w:b w:val="0"/>
        </w:rPr>
      </w:pPr>
    </w:p>
    <w:p w:rsidR="004D0B4A" w:rsidRPr="004D0B4A" w:rsidRDefault="004D0B4A" w:rsidP="004D0B4A">
      <w:pPr>
        <w:pStyle w:val="BodyText"/>
        <w:rPr>
          <w:rFonts w:ascii="Times New Roman" w:hAnsi="Times New Roman" w:cs="Times New Roman"/>
          <w:b w:val="0"/>
        </w:rPr>
      </w:pPr>
      <w:r w:rsidRPr="004D0B4A">
        <w:rPr>
          <w:rFonts w:ascii="Times New Roman" w:hAnsi="Times New Roman" w:cs="Times New Roman"/>
          <w:b w:val="0"/>
        </w:rPr>
        <w:t xml:space="preserve">Rule 1.7.2 </w:t>
      </w:r>
      <w:r w:rsidRPr="004D0B4A">
        <w:rPr>
          <w:rFonts w:ascii="Times New Roman" w:hAnsi="Times New Roman" w:cs="Times New Roman"/>
          <w:b w:val="0"/>
        </w:rPr>
        <w:tab/>
      </w:r>
      <w:r w:rsidRPr="004D0B4A">
        <w:rPr>
          <w:rFonts w:ascii="Times New Roman" w:hAnsi="Times New Roman" w:cs="Times New Roman"/>
        </w:rPr>
        <w:t>Exemption.</w:t>
      </w:r>
      <w:r w:rsidRPr="004D0B4A">
        <w:rPr>
          <w:rFonts w:ascii="Times New Roman" w:hAnsi="Times New Roman" w:cs="Times New Roman"/>
          <w:b w:val="0"/>
        </w:rPr>
        <w:t xml:space="preserve"> Utilization of the exemption by the Applicant requires the following:</w:t>
      </w:r>
    </w:p>
    <w:p w:rsidR="004D0B4A" w:rsidRPr="004D0B4A" w:rsidRDefault="004D0B4A" w:rsidP="004D0B4A">
      <w:pPr>
        <w:pStyle w:val="BodyText"/>
        <w:rPr>
          <w:rFonts w:ascii="Times New Roman" w:hAnsi="Times New Roman" w:cs="Times New Roman"/>
          <w:b w:val="0"/>
        </w:rPr>
      </w:pPr>
    </w:p>
    <w:p w:rsidR="004D0B4A" w:rsidRPr="004D0B4A" w:rsidRDefault="004D0B4A" w:rsidP="004D0B4A">
      <w:pPr>
        <w:pStyle w:val="BodyText"/>
        <w:numPr>
          <w:ilvl w:val="0"/>
          <w:numId w:val="1"/>
        </w:numPr>
        <w:ind w:left="1440" w:hanging="720"/>
        <w:rPr>
          <w:rFonts w:ascii="Times New Roman" w:hAnsi="Times New Roman" w:cs="Times New Roman"/>
          <w:b w:val="0"/>
        </w:rPr>
      </w:pPr>
      <w:r w:rsidRPr="004D0B4A">
        <w:rPr>
          <w:rFonts w:ascii="Times New Roman" w:hAnsi="Times New Roman" w:cs="Times New Roman"/>
          <w:b w:val="0"/>
        </w:rPr>
        <w:t>Applicant must attest that a single residence will be placed on a single two (2) - acre or larger tract of land during the Notice of Intent process and must acknowledge that they have been informed that the following entities may require the Department’s Final Approval:</w:t>
      </w:r>
    </w:p>
    <w:p w:rsidR="004D0B4A" w:rsidRPr="004D0B4A" w:rsidRDefault="004D0B4A" w:rsidP="004D0B4A">
      <w:pPr>
        <w:pStyle w:val="BodyText"/>
        <w:rPr>
          <w:rFonts w:ascii="Times New Roman" w:hAnsi="Times New Roman" w:cs="Times New Roman"/>
          <w:b w:val="0"/>
        </w:rPr>
      </w:pPr>
    </w:p>
    <w:p w:rsidR="004D0B4A" w:rsidRPr="004D0B4A" w:rsidRDefault="004D0B4A" w:rsidP="004D0B4A">
      <w:pPr>
        <w:pStyle w:val="BodyText"/>
        <w:numPr>
          <w:ilvl w:val="1"/>
          <w:numId w:val="2"/>
        </w:numPr>
        <w:spacing w:line="480" w:lineRule="auto"/>
        <w:ind w:left="2160" w:hanging="720"/>
        <w:rPr>
          <w:rFonts w:ascii="Times New Roman" w:hAnsi="Times New Roman" w:cs="Times New Roman"/>
          <w:b w:val="0"/>
        </w:rPr>
      </w:pPr>
      <w:r w:rsidRPr="004D0B4A">
        <w:rPr>
          <w:rFonts w:ascii="Times New Roman" w:hAnsi="Times New Roman" w:cs="Times New Roman"/>
          <w:b w:val="0"/>
        </w:rPr>
        <w:t>Board of Supervisor (Ordinance)</w:t>
      </w:r>
    </w:p>
    <w:p w:rsidR="004D0B4A" w:rsidRPr="004D0B4A" w:rsidRDefault="004D0B4A" w:rsidP="004D0B4A">
      <w:pPr>
        <w:pStyle w:val="BodyText"/>
        <w:numPr>
          <w:ilvl w:val="1"/>
          <w:numId w:val="2"/>
        </w:numPr>
        <w:spacing w:line="480" w:lineRule="auto"/>
        <w:ind w:left="2160" w:hanging="720"/>
        <w:rPr>
          <w:rFonts w:ascii="Times New Roman" w:hAnsi="Times New Roman" w:cs="Times New Roman"/>
          <w:b w:val="0"/>
        </w:rPr>
      </w:pPr>
      <w:r w:rsidRPr="004D0B4A">
        <w:rPr>
          <w:rFonts w:ascii="Times New Roman" w:hAnsi="Times New Roman" w:cs="Times New Roman"/>
          <w:b w:val="0"/>
        </w:rPr>
        <w:t>Water Supplier/Association (Bylaws and/or Water User’s Agreement)</w:t>
      </w:r>
    </w:p>
    <w:p w:rsidR="004D0B4A" w:rsidRPr="004D0B4A" w:rsidRDefault="004D0B4A" w:rsidP="004D0B4A">
      <w:pPr>
        <w:pStyle w:val="BodyText"/>
        <w:numPr>
          <w:ilvl w:val="1"/>
          <w:numId w:val="2"/>
        </w:numPr>
        <w:spacing w:line="480" w:lineRule="auto"/>
        <w:ind w:left="2160" w:hanging="720"/>
        <w:rPr>
          <w:rFonts w:ascii="Times New Roman" w:hAnsi="Times New Roman" w:cs="Times New Roman"/>
          <w:b w:val="0"/>
        </w:rPr>
      </w:pPr>
      <w:r w:rsidRPr="004D0B4A">
        <w:rPr>
          <w:rFonts w:ascii="Times New Roman" w:hAnsi="Times New Roman" w:cs="Times New Roman"/>
          <w:b w:val="0"/>
        </w:rPr>
        <w:t>Lending Institution</w:t>
      </w:r>
    </w:p>
    <w:p w:rsidR="004D0B4A" w:rsidRPr="004D0B4A" w:rsidRDefault="004D0B4A" w:rsidP="004D0B4A">
      <w:pPr>
        <w:pStyle w:val="BodyText"/>
        <w:numPr>
          <w:ilvl w:val="1"/>
          <w:numId w:val="2"/>
        </w:numPr>
        <w:spacing w:line="480" w:lineRule="auto"/>
        <w:ind w:left="2160" w:hanging="720"/>
        <w:rPr>
          <w:rFonts w:ascii="Times New Roman" w:hAnsi="Times New Roman" w:cs="Times New Roman"/>
          <w:b w:val="0"/>
        </w:rPr>
      </w:pPr>
      <w:r w:rsidRPr="004D0B4A">
        <w:rPr>
          <w:rFonts w:ascii="Times New Roman" w:hAnsi="Times New Roman" w:cs="Times New Roman"/>
          <w:b w:val="0"/>
        </w:rPr>
        <w:t>Utility Authority</w:t>
      </w:r>
    </w:p>
    <w:p w:rsidR="004D0B4A" w:rsidRPr="004D0B4A" w:rsidRDefault="004D0B4A" w:rsidP="004D0B4A">
      <w:pPr>
        <w:pStyle w:val="BodyText"/>
        <w:numPr>
          <w:ilvl w:val="1"/>
          <w:numId w:val="2"/>
        </w:numPr>
        <w:spacing w:line="480" w:lineRule="auto"/>
        <w:ind w:left="2160" w:hanging="720"/>
        <w:rPr>
          <w:rFonts w:ascii="Times New Roman" w:hAnsi="Times New Roman" w:cs="Times New Roman"/>
          <w:b w:val="0"/>
        </w:rPr>
      </w:pPr>
      <w:r w:rsidRPr="004D0B4A">
        <w:rPr>
          <w:rFonts w:ascii="Times New Roman" w:hAnsi="Times New Roman" w:cs="Times New Roman"/>
          <w:b w:val="0"/>
        </w:rPr>
        <w:t>Others (subdivision covenants, etc</w:t>
      </w:r>
      <w:r>
        <w:rPr>
          <w:rFonts w:ascii="Times New Roman" w:hAnsi="Times New Roman" w:cs="Times New Roman"/>
          <w:b w:val="0"/>
        </w:rPr>
        <w:t>.</w:t>
      </w:r>
      <w:r w:rsidRPr="004D0B4A">
        <w:rPr>
          <w:rFonts w:ascii="Times New Roman" w:hAnsi="Times New Roman" w:cs="Times New Roman"/>
          <w:b w:val="0"/>
        </w:rPr>
        <w:t>)</w:t>
      </w:r>
    </w:p>
    <w:p w:rsidR="004D0B4A" w:rsidRPr="004D0B4A" w:rsidRDefault="004D0B4A" w:rsidP="004D0B4A">
      <w:pPr>
        <w:pStyle w:val="BodyText"/>
        <w:numPr>
          <w:ilvl w:val="0"/>
          <w:numId w:val="1"/>
        </w:numPr>
        <w:ind w:left="1440" w:hanging="720"/>
        <w:rPr>
          <w:rFonts w:ascii="Times New Roman" w:hAnsi="Times New Roman" w:cs="Times New Roman"/>
          <w:b w:val="0"/>
        </w:rPr>
      </w:pPr>
      <w:r w:rsidRPr="004D0B4A">
        <w:rPr>
          <w:rFonts w:ascii="Times New Roman" w:hAnsi="Times New Roman" w:cs="Times New Roman"/>
          <w:b w:val="0"/>
        </w:rPr>
        <w:t>If an additional resi</w:t>
      </w:r>
      <w:bookmarkStart w:id="0" w:name="_GoBack"/>
      <w:bookmarkEnd w:id="0"/>
      <w:r w:rsidRPr="004D0B4A">
        <w:rPr>
          <w:rFonts w:ascii="Times New Roman" w:hAnsi="Times New Roman" w:cs="Times New Roman"/>
          <w:b w:val="0"/>
        </w:rPr>
        <w:t>dence on the same tract is requested to be exempt, the tract must be five (5) acres or larger.</w:t>
      </w:r>
    </w:p>
    <w:p w:rsidR="004D0B4A" w:rsidRPr="004D0B4A" w:rsidRDefault="004D0B4A" w:rsidP="004D0B4A">
      <w:pPr>
        <w:pStyle w:val="BodyText"/>
        <w:rPr>
          <w:rFonts w:ascii="Times New Roman" w:hAnsi="Times New Roman" w:cs="Times New Roman"/>
          <w:b w:val="0"/>
        </w:rPr>
      </w:pPr>
    </w:p>
    <w:p w:rsidR="004D0B4A" w:rsidRPr="004D0B4A" w:rsidRDefault="004D0B4A" w:rsidP="004D0B4A">
      <w:pPr>
        <w:pStyle w:val="ListParagraph"/>
        <w:keepNext/>
        <w:keepLines/>
        <w:numPr>
          <w:ilvl w:val="0"/>
          <w:numId w:val="1"/>
        </w:numPr>
        <w:ind w:left="1440" w:hanging="720"/>
        <w:outlineLvl w:val="0"/>
        <w:rPr>
          <w:rFonts w:ascii="Times New Roman" w:hAnsi="Times New Roman" w:cs="Times New Roman"/>
          <w:b/>
          <w:bCs/>
          <w:sz w:val="24"/>
          <w:szCs w:val="28"/>
          <w:lang w:bidi="en-US"/>
        </w:rPr>
      </w:pPr>
      <w:r w:rsidRPr="004D0B4A">
        <w:rPr>
          <w:rFonts w:ascii="Times New Roman" w:hAnsi="Times New Roman" w:cs="Times New Roman"/>
          <w:sz w:val="24"/>
          <w:szCs w:val="24"/>
        </w:rPr>
        <w:t>Commercial facilities as defined by Rule 3.1.11.1 are not eligible for exemption.</w:t>
      </w:r>
    </w:p>
    <w:p w:rsidR="004D0B4A" w:rsidRDefault="004D0B4A" w:rsidP="004E2997">
      <w:pPr>
        <w:keepNext/>
        <w:keepLines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  <w:lang w:bidi="en-US"/>
        </w:rPr>
      </w:pPr>
    </w:p>
    <w:p w:rsidR="004E2997" w:rsidRDefault="004E2997" w:rsidP="004E2997">
      <w:pPr>
        <w:keepNext/>
        <w:keepLines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  <w:lang w:bidi="en-US"/>
        </w:rPr>
      </w:pPr>
      <w:r w:rsidRPr="007B77BB">
        <w:rPr>
          <w:rFonts w:ascii="Times New Roman" w:hAnsi="Times New Roman" w:cs="Times New Roman"/>
          <w:b/>
          <w:bCs/>
          <w:sz w:val="24"/>
          <w:szCs w:val="28"/>
          <w:lang w:bidi="en-US"/>
        </w:rPr>
        <w:t>Title 15: Mississippi State Department of Health</w:t>
      </w:r>
    </w:p>
    <w:p w:rsidR="004E2997" w:rsidRPr="007B77BB" w:rsidRDefault="004E2997" w:rsidP="004E2997">
      <w:pPr>
        <w:keepNext/>
        <w:keepLines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  <w:lang w:bidi="en-US"/>
        </w:rPr>
      </w:pPr>
    </w:p>
    <w:p w:rsidR="004E2997" w:rsidRDefault="004E2997" w:rsidP="004E2997">
      <w:pPr>
        <w:keepNext/>
        <w:keepLines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  <w:lang w:bidi="en-US"/>
        </w:rPr>
      </w:pPr>
      <w:r w:rsidRPr="007B77BB">
        <w:rPr>
          <w:rFonts w:ascii="Times New Roman" w:hAnsi="Times New Roman" w:cs="Times New Roman"/>
          <w:b/>
          <w:bCs/>
          <w:sz w:val="24"/>
          <w:szCs w:val="28"/>
          <w:lang w:bidi="en-US"/>
        </w:rPr>
        <w:t>Part 18: Division of On-site Wastewater</w:t>
      </w:r>
    </w:p>
    <w:p w:rsidR="004E2997" w:rsidRPr="007B77BB" w:rsidRDefault="004E2997" w:rsidP="004E2997">
      <w:pPr>
        <w:keepNext/>
        <w:keepLines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  <w:lang w:bidi="en-US"/>
        </w:rPr>
      </w:pPr>
    </w:p>
    <w:p w:rsidR="004E2997" w:rsidRDefault="004E2997" w:rsidP="004E2997">
      <w:pPr>
        <w:keepNext/>
        <w:keepLines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  <w:lang w:bidi="en-US"/>
        </w:rPr>
      </w:pPr>
      <w:r w:rsidRPr="007B77BB">
        <w:rPr>
          <w:rFonts w:ascii="Times New Roman" w:hAnsi="Times New Roman" w:cs="Times New Roman"/>
          <w:b/>
          <w:bCs/>
          <w:sz w:val="24"/>
          <w:szCs w:val="28"/>
          <w:lang w:bidi="en-US"/>
        </w:rPr>
        <w:t>Subpart 77: On-site Wastewater Regulations</w:t>
      </w:r>
    </w:p>
    <w:p w:rsidR="00B66E1A" w:rsidRDefault="00B66E1A"/>
    <w:p w:rsidR="004E2997" w:rsidRDefault="004E2997"/>
    <w:p w:rsidR="00052E4C" w:rsidRPr="00052E4C" w:rsidRDefault="00052E4C" w:rsidP="00052E4C">
      <w:pPr>
        <w:pStyle w:val="BodyText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Rule 1.6.5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</w:rPr>
        <w:t xml:space="preserve">Replacement.  </w:t>
      </w:r>
      <w:r w:rsidRPr="00D24391">
        <w:rPr>
          <w:rFonts w:ascii="Times New Roman" w:hAnsi="Times New Roman" w:cs="Times New Roman"/>
          <w:b w:val="0"/>
        </w:rPr>
        <w:t xml:space="preserve">Any malfunctioning </w:t>
      </w:r>
      <w:proofErr w:type="spellStart"/>
      <w:r w:rsidRPr="00D24391">
        <w:rPr>
          <w:rFonts w:ascii="Times New Roman" w:hAnsi="Times New Roman" w:cs="Times New Roman"/>
          <w:b w:val="0"/>
        </w:rPr>
        <w:t>IOWDS</w:t>
      </w:r>
      <w:proofErr w:type="spellEnd"/>
      <w:r w:rsidRPr="00D24391">
        <w:rPr>
          <w:rFonts w:ascii="Times New Roman" w:hAnsi="Times New Roman" w:cs="Times New Roman"/>
          <w:b w:val="0"/>
        </w:rPr>
        <w:t xml:space="preserve"> that will require the installation of both treatment and disposal </w:t>
      </w:r>
      <w:r>
        <w:rPr>
          <w:rFonts w:ascii="Times New Roman" w:hAnsi="Times New Roman" w:cs="Times New Roman"/>
          <w:b w:val="0"/>
          <w:u w:val="single"/>
        </w:rPr>
        <w:t xml:space="preserve">within 45 days of one another </w:t>
      </w:r>
      <w:r w:rsidRPr="00D24391">
        <w:rPr>
          <w:rFonts w:ascii="Times New Roman" w:hAnsi="Times New Roman" w:cs="Times New Roman"/>
          <w:b w:val="0"/>
        </w:rPr>
        <w:t xml:space="preserve">will require the Applicant to comply with </w:t>
      </w:r>
      <w:r w:rsidRPr="00D24391">
        <w:rPr>
          <w:rFonts w:ascii="Times New Roman" w:hAnsi="Times New Roman" w:cs="Times New Roman"/>
          <w:b w:val="0"/>
          <w:i/>
          <w:iCs/>
        </w:rPr>
        <w:t>Subchapter 5. New System</w:t>
      </w:r>
    </w:p>
    <w:p w:rsidR="00052E4C" w:rsidRDefault="00052E4C" w:rsidP="004E2997">
      <w:pPr>
        <w:pStyle w:val="BodyText"/>
        <w:rPr>
          <w:rFonts w:ascii="Times New Roman" w:hAnsi="Times New Roman" w:cs="Times New Roman"/>
          <w:b w:val="0"/>
        </w:rPr>
      </w:pPr>
    </w:p>
    <w:p w:rsidR="004E2997" w:rsidRDefault="004E2997" w:rsidP="004E2997">
      <w:pPr>
        <w:pStyle w:val="BodyText"/>
        <w:rPr>
          <w:rFonts w:ascii="Times New Roman" w:hAnsi="Times New Roman" w:cs="Times New Roman"/>
          <w:b w:val="0"/>
        </w:rPr>
      </w:pPr>
      <w:r w:rsidRPr="00952197">
        <w:rPr>
          <w:rFonts w:ascii="Times New Roman" w:hAnsi="Times New Roman" w:cs="Times New Roman"/>
          <w:b w:val="0"/>
        </w:rPr>
        <w:t xml:space="preserve">Rule 1.7.2 </w:t>
      </w:r>
      <w:r>
        <w:rPr>
          <w:rFonts w:ascii="Times New Roman" w:hAnsi="Times New Roman" w:cs="Times New Roman"/>
          <w:b w:val="0"/>
        </w:rPr>
        <w:tab/>
      </w:r>
      <w:r w:rsidRPr="009E0A62">
        <w:rPr>
          <w:rFonts w:ascii="Times New Roman" w:hAnsi="Times New Roman" w:cs="Times New Roman"/>
        </w:rPr>
        <w:t>Exemption.</w:t>
      </w:r>
      <w:r w:rsidRPr="00952197">
        <w:rPr>
          <w:rFonts w:ascii="Times New Roman" w:hAnsi="Times New Roman" w:cs="Times New Roman"/>
          <w:b w:val="0"/>
        </w:rPr>
        <w:t xml:space="preserve"> Utilization of</w:t>
      </w:r>
      <w:r>
        <w:rPr>
          <w:rFonts w:ascii="Times New Roman" w:hAnsi="Times New Roman" w:cs="Times New Roman"/>
          <w:b w:val="0"/>
        </w:rPr>
        <w:t xml:space="preserve"> the exemption by the Applicant</w:t>
      </w:r>
      <w:r w:rsidRPr="00952197">
        <w:rPr>
          <w:rFonts w:ascii="Times New Roman" w:hAnsi="Times New Roman" w:cs="Times New Roman"/>
          <w:b w:val="0"/>
        </w:rPr>
        <w:t xml:space="preserve"> requires the</w:t>
      </w:r>
      <w:r>
        <w:rPr>
          <w:rFonts w:ascii="Times New Roman" w:hAnsi="Times New Roman" w:cs="Times New Roman"/>
          <w:b w:val="0"/>
        </w:rPr>
        <w:t xml:space="preserve"> </w:t>
      </w:r>
      <w:r w:rsidRPr="00952197">
        <w:rPr>
          <w:rFonts w:ascii="Times New Roman" w:hAnsi="Times New Roman" w:cs="Times New Roman"/>
          <w:b w:val="0"/>
        </w:rPr>
        <w:t>following:</w:t>
      </w:r>
    </w:p>
    <w:p w:rsidR="009E0A62" w:rsidRPr="00952197" w:rsidRDefault="009E0A62" w:rsidP="004E2997">
      <w:pPr>
        <w:pStyle w:val="BodyText"/>
        <w:rPr>
          <w:rFonts w:ascii="Times New Roman" w:hAnsi="Times New Roman" w:cs="Times New Roman"/>
          <w:b w:val="0"/>
        </w:rPr>
      </w:pPr>
    </w:p>
    <w:p w:rsidR="004E2997" w:rsidRDefault="004E2997" w:rsidP="002276AB">
      <w:pPr>
        <w:pStyle w:val="BodyText"/>
        <w:numPr>
          <w:ilvl w:val="0"/>
          <w:numId w:val="3"/>
        </w:numPr>
        <w:ind w:left="1440" w:hanging="720"/>
        <w:rPr>
          <w:rFonts w:ascii="Times New Roman" w:hAnsi="Times New Roman" w:cs="Times New Roman"/>
          <w:b w:val="0"/>
        </w:rPr>
      </w:pPr>
      <w:r w:rsidRPr="00952197">
        <w:rPr>
          <w:rFonts w:ascii="Times New Roman" w:hAnsi="Times New Roman" w:cs="Times New Roman"/>
          <w:b w:val="0"/>
        </w:rPr>
        <w:t>Applicant must attest that a single residence will be placed on a single two (2) -</w:t>
      </w:r>
      <w:r>
        <w:rPr>
          <w:rFonts w:ascii="Times New Roman" w:hAnsi="Times New Roman" w:cs="Times New Roman"/>
          <w:b w:val="0"/>
        </w:rPr>
        <w:t xml:space="preserve"> </w:t>
      </w:r>
      <w:r w:rsidRPr="004E2997">
        <w:rPr>
          <w:rFonts w:ascii="Times New Roman" w:hAnsi="Times New Roman" w:cs="Times New Roman"/>
          <w:b w:val="0"/>
        </w:rPr>
        <w:lastRenderedPageBreak/>
        <w:t>acre or larger tract of land during the Notice of Intent process and must</w:t>
      </w:r>
      <w:r>
        <w:rPr>
          <w:rFonts w:ascii="Times New Roman" w:hAnsi="Times New Roman" w:cs="Times New Roman"/>
          <w:b w:val="0"/>
        </w:rPr>
        <w:t xml:space="preserve"> </w:t>
      </w:r>
      <w:r w:rsidRPr="004E2997">
        <w:rPr>
          <w:rFonts w:ascii="Times New Roman" w:hAnsi="Times New Roman" w:cs="Times New Roman"/>
          <w:b w:val="0"/>
        </w:rPr>
        <w:t>acknowledge that they have been informed</w:t>
      </w:r>
      <w:r w:rsidRPr="004E2997">
        <w:rPr>
          <w:rFonts w:ascii="Times New Roman" w:hAnsi="Times New Roman" w:cs="Times New Roman"/>
          <w:b w:val="0"/>
          <w:u w:val="single"/>
        </w:rPr>
        <w:t xml:space="preserve"> that</w:t>
      </w:r>
      <w:r w:rsidRPr="004E2997">
        <w:rPr>
          <w:rFonts w:ascii="Times New Roman" w:hAnsi="Times New Roman" w:cs="Times New Roman"/>
          <w:b w:val="0"/>
        </w:rPr>
        <w:t xml:space="preserve"> the following entities may require the</w:t>
      </w:r>
      <w:r>
        <w:rPr>
          <w:rFonts w:ascii="Times New Roman" w:hAnsi="Times New Roman" w:cs="Times New Roman"/>
          <w:b w:val="0"/>
        </w:rPr>
        <w:t xml:space="preserve"> </w:t>
      </w:r>
      <w:r w:rsidRPr="004E2997">
        <w:rPr>
          <w:rFonts w:ascii="Times New Roman" w:hAnsi="Times New Roman" w:cs="Times New Roman"/>
          <w:b w:val="0"/>
        </w:rPr>
        <w:t>Department’s Final Approval:</w:t>
      </w:r>
    </w:p>
    <w:p w:rsidR="009E0A62" w:rsidRPr="004E2997" w:rsidRDefault="009E0A62" w:rsidP="009E0A62">
      <w:pPr>
        <w:pStyle w:val="BodyText"/>
        <w:rPr>
          <w:rFonts w:ascii="Times New Roman" w:hAnsi="Times New Roman" w:cs="Times New Roman"/>
          <w:b w:val="0"/>
        </w:rPr>
      </w:pPr>
    </w:p>
    <w:p w:rsidR="004E2997" w:rsidRPr="00952197" w:rsidRDefault="004E2997" w:rsidP="002276AB">
      <w:pPr>
        <w:pStyle w:val="BodyText"/>
        <w:numPr>
          <w:ilvl w:val="0"/>
          <w:numId w:val="4"/>
        </w:numPr>
        <w:spacing w:line="480" w:lineRule="auto"/>
        <w:ind w:left="2160" w:hanging="720"/>
        <w:rPr>
          <w:rFonts w:ascii="Times New Roman" w:hAnsi="Times New Roman" w:cs="Times New Roman"/>
          <w:b w:val="0"/>
        </w:rPr>
      </w:pPr>
      <w:r w:rsidRPr="00952197">
        <w:rPr>
          <w:rFonts w:ascii="Times New Roman" w:hAnsi="Times New Roman" w:cs="Times New Roman"/>
          <w:b w:val="0"/>
        </w:rPr>
        <w:t>Board of Supervisor (Ordinance)</w:t>
      </w:r>
    </w:p>
    <w:p w:rsidR="004E2997" w:rsidRPr="00952197" w:rsidRDefault="004E2997" w:rsidP="002276AB">
      <w:pPr>
        <w:pStyle w:val="BodyText"/>
        <w:numPr>
          <w:ilvl w:val="0"/>
          <w:numId w:val="4"/>
        </w:numPr>
        <w:spacing w:line="480" w:lineRule="auto"/>
        <w:ind w:left="2160" w:hanging="720"/>
        <w:rPr>
          <w:rFonts w:ascii="Times New Roman" w:hAnsi="Times New Roman" w:cs="Times New Roman"/>
          <w:b w:val="0"/>
        </w:rPr>
      </w:pPr>
      <w:r w:rsidRPr="00952197">
        <w:rPr>
          <w:rFonts w:ascii="Times New Roman" w:hAnsi="Times New Roman" w:cs="Times New Roman"/>
          <w:b w:val="0"/>
        </w:rPr>
        <w:t>Water Supplier/Association (Bylaws and/or Water User’s Agreement)</w:t>
      </w:r>
    </w:p>
    <w:p w:rsidR="004E2997" w:rsidRPr="00952197" w:rsidRDefault="004E2997" w:rsidP="002276AB">
      <w:pPr>
        <w:pStyle w:val="BodyText"/>
        <w:numPr>
          <w:ilvl w:val="0"/>
          <w:numId w:val="4"/>
        </w:numPr>
        <w:spacing w:line="480" w:lineRule="auto"/>
        <w:ind w:left="2160" w:hanging="7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Lending Institution</w:t>
      </w:r>
    </w:p>
    <w:p w:rsidR="004E2997" w:rsidRPr="00952197" w:rsidRDefault="004E2997" w:rsidP="002276AB">
      <w:pPr>
        <w:pStyle w:val="BodyText"/>
        <w:numPr>
          <w:ilvl w:val="0"/>
          <w:numId w:val="4"/>
        </w:numPr>
        <w:spacing w:line="480" w:lineRule="auto"/>
        <w:ind w:left="2160" w:hanging="720"/>
        <w:rPr>
          <w:rFonts w:ascii="Times New Roman" w:hAnsi="Times New Roman" w:cs="Times New Roman"/>
          <w:b w:val="0"/>
        </w:rPr>
      </w:pPr>
      <w:r w:rsidRPr="00952197">
        <w:rPr>
          <w:rFonts w:ascii="Times New Roman" w:hAnsi="Times New Roman" w:cs="Times New Roman"/>
          <w:b w:val="0"/>
        </w:rPr>
        <w:t>Utility Authority</w:t>
      </w:r>
    </w:p>
    <w:p w:rsidR="004E2997" w:rsidRDefault="004E2997" w:rsidP="002276AB">
      <w:pPr>
        <w:pStyle w:val="BodyText"/>
        <w:numPr>
          <w:ilvl w:val="0"/>
          <w:numId w:val="4"/>
        </w:numPr>
        <w:spacing w:line="480" w:lineRule="auto"/>
        <w:ind w:left="2160" w:hanging="720"/>
        <w:rPr>
          <w:rFonts w:ascii="Times New Roman" w:hAnsi="Times New Roman" w:cs="Times New Roman"/>
          <w:b w:val="0"/>
        </w:rPr>
      </w:pPr>
      <w:r w:rsidRPr="00952197">
        <w:rPr>
          <w:rFonts w:ascii="Times New Roman" w:hAnsi="Times New Roman" w:cs="Times New Roman"/>
          <w:b w:val="0"/>
        </w:rPr>
        <w:t>Others (subdivision covenants, etc</w:t>
      </w:r>
      <w:r w:rsidR="004D0B4A">
        <w:rPr>
          <w:rFonts w:ascii="Times New Roman" w:hAnsi="Times New Roman" w:cs="Times New Roman"/>
          <w:b w:val="0"/>
        </w:rPr>
        <w:t>.</w:t>
      </w:r>
      <w:r w:rsidRPr="00952197">
        <w:rPr>
          <w:rFonts w:ascii="Times New Roman" w:hAnsi="Times New Roman" w:cs="Times New Roman"/>
          <w:b w:val="0"/>
        </w:rPr>
        <w:t>)</w:t>
      </w:r>
    </w:p>
    <w:p w:rsidR="004E2997" w:rsidRDefault="004E2997" w:rsidP="002276AB">
      <w:pPr>
        <w:pStyle w:val="BodyText"/>
        <w:numPr>
          <w:ilvl w:val="0"/>
          <w:numId w:val="3"/>
        </w:numPr>
        <w:ind w:left="1440" w:hanging="720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If an additional residence on the same tract is requested to be exempt, the tract must be five (5) acres or larger.</w:t>
      </w:r>
    </w:p>
    <w:p w:rsidR="009E0A62" w:rsidRDefault="009E0A62" w:rsidP="009E0A62">
      <w:pPr>
        <w:pStyle w:val="BodyText"/>
        <w:rPr>
          <w:rFonts w:ascii="Times New Roman" w:hAnsi="Times New Roman" w:cs="Times New Roman"/>
          <w:b w:val="0"/>
          <w:u w:val="single"/>
        </w:rPr>
      </w:pPr>
    </w:p>
    <w:p w:rsidR="00052E4C" w:rsidRPr="00052E4C" w:rsidRDefault="004E2997" w:rsidP="002276AB">
      <w:pPr>
        <w:pStyle w:val="ListParagraph"/>
        <w:numPr>
          <w:ilvl w:val="0"/>
          <w:numId w:val="3"/>
        </w:numPr>
        <w:ind w:left="1440" w:hanging="720"/>
        <w:rPr>
          <w:sz w:val="24"/>
          <w:szCs w:val="24"/>
        </w:rPr>
      </w:pPr>
      <w:r w:rsidRPr="004E2997">
        <w:rPr>
          <w:rFonts w:ascii="Times New Roman" w:hAnsi="Times New Roman" w:cs="Times New Roman"/>
          <w:sz w:val="24"/>
          <w:szCs w:val="24"/>
          <w:u w:val="single"/>
        </w:rPr>
        <w:t>Commercial facilities as defined by Rule 3.1.11.1 are not eligible for exemption.</w:t>
      </w:r>
    </w:p>
    <w:p w:rsidR="00052E4C" w:rsidRPr="00052E4C" w:rsidRDefault="00052E4C" w:rsidP="00052E4C">
      <w:pPr>
        <w:pStyle w:val="ListParagraph"/>
        <w:rPr>
          <w:sz w:val="24"/>
          <w:szCs w:val="24"/>
        </w:rPr>
      </w:pPr>
    </w:p>
    <w:p w:rsidR="00052E4C" w:rsidRPr="00052E4C" w:rsidRDefault="00052E4C" w:rsidP="00052E4C">
      <w:pPr>
        <w:rPr>
          <w:rFonts w:ascii="Times New Roman" w:hAnsi="Times New Roman" w:cs="Times New Roman"/>
          <w:sz w:val="24"/>
          <w:szCs w:val="24"/>
        </w:rPr>
      </w:pPr>
    </w:p>
    <w:sectPr w:rsidR="00052E4C" w:rsidRPr="00052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4052E"/>
    <w:multiLevelType w:val="hybridMultilevel"/>
    <w:tmpl w:val="33F8353C"/>
    <w:lvl w:ilvl="0" w:tplc="C8560F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3D2C0C5E">
      <w:start w:val="1"/>
      <w:numFmt w:val="lowerLetter"/>
      <w:lvlText w:val="%2."/>
      <w:lvlJc w:val="left"/>
      <w:pPr>
        <w:ind w:left="184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1E2FA0"/>
    <w:multiLevelType w:val="hybridMultilevel"/>
    <w:tmpl w:val="33F8353C"/>
    <w:lvl w:ilvl="0" w:tplc="C8560F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3D2C0C5E">
      <w:start w:val="1"/>
      <w:numFmt w:val="lowerLetter"/>
      <w:lvlText w:val="%2."/>
      <w:lvlJc w:val="left"/>
      <w:pPr>
        <w:ind w:left="184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0C43B4"/>
    <w:multiLevelType w:val="hybridMultilevel"/>
    <w:tmpl w:val="173480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1CC6E95"/>
    <w:multiLevelType w:val="hybridMultilevel"/>
    <w:tmpl w:val="220CA22A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22"/>
    <w:rsid w:val="00052E4C"/>
    <w:rsid w:val="002276AB"/>
    <w:rsid w:val="002C2AC9"/>
    <w:rsid w:val="004D0B4A"/>
    <w:rsid w:val="004E2997"/>
    <w:rsid w:val="009E0A62"/>
    <w:rsid w:val="00B66E1A"/>
    <w:rsid w:val="00B7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5015"/>
  <w15:chartTrackingRefBased/>
  <w15:docId w15:val="{B07DACF0-8A79-42D6-97F6-E4BF587A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99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2997"/>
    <w:pPr>
      <w:widowControl w:val="0"/>
      <w:autoSpaceDE w:val="0"/>
      <w:autoSpaceDN w:val="0"/>
    </w:pPr>
    <w:rPr>
      <w:rFonts w:eastAsia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2997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2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Department of Health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Duncan</dc:creator>
  <cp:keywords/>
  <dc:description/>
  <cp:lastModifiedBy>Welch, Duncan</cp:lastModifiedBy>
  <cp:revision>6</cp:revision>
  <dcterms:created xsi:type="dcterms:W3CDTF">2018-02-13T20:42:00Z</dcterms:created>
  <dcterms:modified xsi:type="dcterms:W3CDTF">2018-02-13T23:26:00Z</dcterms:modified>
</cp:coreProperties>
</file>